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Personal Finance Web Resources for budgeting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“Get your household budget up in 30 minutes or less”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5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http://www.dailyfinance.com/2014/02/12/get-your-household-budget-up-and-running-in-30-minutes-or-less/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Wikipedia Personal budget breakdown has good categories and average family spending in the categories for 2007.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6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http://en.wikipedia.org/wiki/Personal_budget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“A Step by step guid to gaining control of your financial life”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7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http://money.cnn.com/magazines/moneymag/money101/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4"/>
          <w:rtl w:val="0"/>
        </w:rPr>
        <w:t xml:space="preserve">“7 Personal Finance Tips for new Grads”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http://www.kiplinger.com/article/college/T007-C001-S001-7-personal-finance-basics-for-new-grads.html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.wikipedia.org/wiki/Personal_budget" Type="http://schemas.openxmlformats.org/officeDocument/2006/relationships/hyperlink" TargetMode="External" Id="rId6"/><Relationship Target="http://www.dailyfinance.com/2014/02/12/get-your-household-budget-up-and-running-in-30-minutes-or-less/" Type="http://schemas.openxmlformats.org/officeDocument/2006/relationships/hyperlink" TargetMode="External" Id="rId5"/><Relationship Target="http://www.kiplinger.com/article/college/T007-C001-S001-7-personal-finance-basics-for-new-grads.html" Type="http://schemas.openxmlformats.org/officeDocument/2006/relationships/hyperlink" TargetMode="External" Id="rId8"/><Relationship Target="http://money.cnn.com/magazines/moneymag/money101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Finance Web Resourches.docx</dc:title>
</cp:coreProperties>
</file>